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Sarah Woods</w:t>
      </w:r>
    </w:p>
    <w:p w:rsidR="00000000" w:rsidDel="00000000" w:rsidP="00000000" w:rsidRDefault="00000000" w:rsidRPr="00000000" w14:paraId="00000002">
      <w:pPr>
        <w:rPr/>
      </w:pPr>
      <w:r w:rsidDel="00000000" w:rsidR="00000000" w:rsidRPr="00000000">
        <w:rPr>
          <w:rtl w:val="0"/>
        </w:rPr>
        <w:t xml:space="preserve">Course: AP Seminar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AP Seminar course deals heavily with critical thinking and argumentation.  Essential elements of the course include identification of arguments, explanation of claims and reasoning, evaluation of evidence, and construction of argument.  Additionally, the course places emphasis on the ability of students to articulate and present arguments and concepts, as well as respond to critical questions.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Summit Threshold Concepts:</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In civil discourse, we must come from a desire to understand, not a desire to persuade. </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Course application - Students must be able to listen and critically evaluate concepts that they read and hear from others (both peers and other external sources).  Students must be able to participate in discussions (Harkness, for example) that allow for civil discourse that improves understanding, rather than simply people on soapboxes.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It is essential to understand and articulate all possible perspectives on an issue.</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Course application - Students must be willing and able to read a variety of diverse perspectives on any issue, in order to fully research and understand an idea.  Furthermore, College Board establishes that students must be able to identify and explain a variety of stakeholders and perspectives on topics.  Students must learn to look to reputable sources from a variety of perspectives.  Additionally, students should be able to examine counter argument and different lenses, in order to fully construct a balanced argument.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At times, peer/social influence can have as much of a censorship impact, as government.</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Course application - As a student group in a course based on critical thinking, the ability to have a community discussion is integral to the understanding of the various lenses and points of view.  However, if students (or citizens) fear reprisal or ostracization for their beliefs, the community loses out on the perspective.  Because it is imperative to understand all perspectives (see the previous concept), the loss of a perspective in discussion harms group and individual progress.  Thus, in practice in the classroom, students must create an environment of open discourse that maintains respect and is free of domination by individuals.  Students should be educated on what ad hominem attacks are and why they must be avoided.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Tribalism and polarization in the political realm, though understandable, can cause the deterioration of civil discourse.</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Course application - In order to get a full understanding of a topic, students must be careful about assuming a position based on tribal affiliation and then allowing emotions to escalate and cause a lack of civility in discussion and discourse.  Students should understand that passionate beliefs are good, but aggressive and emotional “arguing” can further increase polarization, inhibit discussion, and (as a result) limit overall learning and understanding.  Students should actively participate in articulating the ideas of those on the other “tribe”, in order to increase understanding of the full issue.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